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微软雅黑" w:hAnsi="微软雅黑" w:eastAsia="微软雅黑"/>
          <w:b/>
          <w:color w:val="000000"/>
          <w:sz w:val="36"/>
          <w:szCs w:val="28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28"/>
        </w:rPr>
        <w:t>20</w:t>
      </w:r>
      <w:r>
        <w:rPr>
          <w:rFonts w:hint="eastAsia" w:ascii="微软雅黑" w:hAnsi="微软雅黑" w:eastAsia="微软雅黑"/>
          <w:b/>
          <w:color w:val="000000"/>
          <w:sz w:val="36"/>
          <w:szCs w:val="28"/>
          <w:lang w:val="en-US" w:eastAsia="zh-CN"/>
        </w:rPr>
        <w:t>21</w:t>
      </w:r>
      <w:r>
        <w:rPr>
          <w:rFonts w:hint="eastAsia" w:ascii="微软雅黑" w:hAnsi="微软雅黑" w:eastAsia="微软雅黑"/>
          <w:b/>
          <w:color w:val="000000"/>
          <w:sz w:val="36"/>
          <w:szCs w:val="28"/>
        </w:rPr>
        <w:t>年宁波市中职技能大赛创业计划书比赛规程</w:t>
      </w:r>
    </w:p>
    <w:p>
      <w:pPr>
        <w:pStyle w:val="9"/>
        <w:rPr>
          <w:rFonts w:ascii="微软雅黑" w:hAnsi="微软雅黑" w:eastAsia="微软雅黑"/>
          <w:i w:val="0"/>
          <w:iCs/>
          <w:color w:val="000000"/>
          <w:sz w:val="24"/>
        </w:rPr>
      </w:pPr>
      <w:r>
        <w:rPr>
          <w:rFonts w:hint="eastAsia" w:ascii="微软雅黑" w:hAnsi="微软雅黑" w:eastAsia="微软雅黑"/>
          <w:i w:val="0"/>
          <w:iCs/>
          <w:color w:val="000000"/>
          <w:sz w:val="24"/>
        </w:rPr>
        <w:t>学生类：</w:t>
      </w:r>
      <w:r>
        <w:rPr>
          <w:rFonts w:ascii="微软雅黑" w:hAnsi="微软雅黑" w:eastAsia="微软雅黑"/>
          <w:i w:val="0"/>
          <w:iCs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  <w:i w:val="0"/>
          <w:iCs/>
          <w:color w:val="000000"/>
          <w:sz w:val="24"/>
        </w:rPr>
        <w:t>创业计划书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sz w:val="20"/>
          <w:szCs w:val="16"/>
        </w:rPr>
      </w:pPr>
      <w:r>
        <w:rPr>
          <w:rFonts w:hint="eastAsia" w:ascii="微软雅黑" w:hAnsi="微软雅黑" w:eastAsia="微软雅黑"/>
          <w:b/>
          <w:sz w:val="20"/>
          <w:szCs w:val="16"/>
        </w:rPr>
        <w:t>一、赛项名称</w:t>
      </w:r>
    </w:p>
    <w:p>
      <w:p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</w:rPr>
      </w:pPr>
      <w:r>
        <w:rPr>
          <w:rFonts w:hint="eastAsia" w:ascii="微软雅黑" w:hAnsi="微软雅黑" w:eastAsia="微软雅黑"/>
          <w:sz w:val="20"/>
          <w:szCs w:val="16"/>
        </w:rPr>
        <w:t>创业计划竞赛</w:t>
      </w:r>
    </w:p>
    <w:p>
      <w:pPr>
        <w:numPr>
          <w:ilvl w:val="0"/>
          <w:numId w:val="1"/>
        </w:num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比赛主题</w:t>
      </w:r>
    </w:p>
    <w:p>
      <w:pPr>
        <w:numPr>
          <w:numId w:val="0"/>
        </w:numPr>
        <w:adjustRightInd w:val="0"/>
        <w:snapToGrid w:val="0"/>
        <w:rPr>
          <w:rFonts w:hint="default" w:ascii="微软雅黑" w:hAnsi="微软雅黑" w:eastAsia="微软雅黑"/>
          <w:sz w:val="20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 xml:space="preserve">    创造我们的新时代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sz w:val="20"/>
          <w:szCs w:val="16"/>
        </w:rPr>
      </w:pPr>
      <w:r>
        <w:rPr>
          <w:rFonts w:hint="eastAsia" w:ascii="微软雅黑" w:hAnsi="微软雅黑" w:eastAsia="微软雅黑"/>
          <w:b/>
          <w:sz w:val="20"/>
          <w:szCs w:val="16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 w:val="20"/>
          <w:szCs w:val="16"/>
        </w:rPr>
        <w:t>、竞赛目的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sz w:val="20"/>
          <w:szCs w:val="16"/>
        </w:rPr>
      </w:pPr>
      <w:r>
        <w:rPr>
          <w:rFonts w:hint="eastAsia" w:ascii="微软雅黑" w:hAnsi="微软雅黑" w:eastAsia="微软雅黑"/>
          <w:sz w:val="20"/>
          <w:szCs w:val="16"/>
        </w:rPr>
        <w:t>激发我市中职学生的进取精神和创业热情，增强务实意识和社会责任感，培育创业精神和企业家精神；促进学生专业学习，提高创业技能，形成职业能力，创造出彩人生</w:t>
      </w:r>
      <w:r>
        <w:rPr>
          <w:rFonts w:ascii="微软雅黑" w:hAnsi="微软雅黑" w:eastAsia="微软雅黑"/>
          <w:sz w:val="20"/>
          <w:szCs w:val="16"/>
        </w:rPr>
        <w:t>;</w:t>
      </w:r>
      <w:r>
        <w:rPr>
          <w:rFonts w:hint="eastAsia" w:ascii="微软雅黑" w:hAnsi="微软雅黑" w:eastAsia="微软雅黑"/>
          <w:sz w:val="20"/>
          <w:szCs w:val="16"/>
        </w:rPr>
        <w:t>促进全市职业学校创新创业教育实践活动的全面开展，提高学科教师创业教育教学和实践指导能力，进一步推动我市职业学校创新创业教育。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sz w:val="20"/>
          <w:szCs w:val="16"/>
        </w:rPr>
      </w:pPr>
      <w:r>
        <w:rPr>
          <w:rFonts w:hint="eastAsia" w:ascii="微软雅黑" w:hAnsi="微软雅黑" w:eastAsia="微软雅黑"/>
          <w:b/>
          <w:sz w:val="20"/>
          <w:szCs w:val="16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sz w:val="20"/>
          <w:szCs w:val="16"/>
        </w:rPr>
        <w:t>、赛项概述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sz w:val="20"/>
          <w:szCs w:val="16"/>
        </w:rPr>
      </w:pPr>
      <w:r>
        <w:rPr>
          <w:rFonts w:hint="eastAsia" w:ascii="微软雅黑" w:hAnsi="微软雅黑" w:eastAsia="微软雅黑"/>
          <w:sz w:val="20"/>
          <w:szCs w:val="16"/>
        </w:rPr>
        <w:t>创业计划竞赛：参赛者组成优势互补的竞赛小组，提出一个具有市场前景的产品或服务，围绕这一产品或服务，完成一份完整、具体、深入的创业计划，以描述公司的创业机会，阐述创立公司、把握这一机会的进程，说明所需要的资源、提示风险和预期回报，并提出行动建议。创业计划聚焦于特定的策略、目标、计划和行动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sz w:val="20"/>
          <w:szCs w:val="16"/>
        </w:rPr>
      </w:pPr>
      <w:r>
        <w:rPr>
          <w:rFonts w:hint="eastAsia" w:ascii="微软雅黑" w:hAnsi="微软雅黑" w:eastAsia="微软雅黑"/>
          <w:b/>
          <w:sz w:val="20"/>
          <w:szCs w:val="16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sz w:val="20"/>
          <w:szCs w:val="16"/>
        </w:rPr>
        <w:t>、基本内容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创业计划书的核心包括：产品/服务的独特性，详尽的市场分析（目标客户定位）、销售预测和竞争分析，重点是该项目的核心竞争力、盈利模式创新和可行性分析。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创业计划书基本框架：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ind w:firstLine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（1）项目概要：计划书摘要，概括展现项目全貌，突出特点和优势。</w:t>
      </w:r>
    </w:p>
    <w:p>
      <w:pPr>
        <w:snapToGrid w:val="0"/>
        <w:ind w:firstLine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（2）企业概述：公司（创业组织）的名称、行业类别及业务范围。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）产品/服务描述：包括项目的独特性，向消费者提供价值的途径，销售、服务的方式，与同类产品/服务相比的优势所在。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）市场分析：简要叙述市场描述、目标市场分析、目标消费群分析、可持续发展分析、行业竞争分析。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（5）营销计划：制定市场营销计划可以采用“4P方法”，从市场营销的四个方面分析，即：产品（Product）、价格（Price）、地点（Place）、促销（Promotion）。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）组织计划：有与项目一致的专业背景和业务支撑，团队成员之间优势互补，分工明确。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）融资与财务分析：以列表形式简略分析你的启动资金来源、创办企业成本、流动资金（月）、销售预测（12个月）、销售和成本计划、现金流计划等。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）风险分析：对项目在运行过程中的各种风险有一定的预见。</w:t>
      </w:r>
    </w:p>
    <w:p>
      <w:pPr>
        <w:adjustRightInd w:val="0"/>
        <w:snapToGrid w:val="0"/>
        <w:ind w:firstLine="200" w:firstLineChars="1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（9）退出机制：计划书是否包含此项内容根据实际情况而定。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、竞赛方式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.每所学校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送报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个作品，不超过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个。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strike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2.本赛项采用团体赛比赛方式，每个项目不得超过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名选手。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3.竞赛分预赛与决赛两个阶段。预赛以文本方式展示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受理及评比以文本为主要依据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图片、视频说明等为辅。决赛采用现场陈述及答辩的方式进行。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4.所有参赛选手必须由学校出面在大赛报名平台录入信息，然后按流程参加预赛作品递交、现场决赛。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5. 根据宁波市技能（才艺）大赛总体要求，每赛项只能具名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位指导教师。各校应指定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名负责人担任领队，全权负责参赛事务的组织、协调和管理工作。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六、竞赛流程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.初赛采用书面文本形式评比，评审组对各校提交的创业计划书进行评分，并按分数由高到低确定6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项目进入决赛。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.决赛：现场陈述和答辩。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）各团队借助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和现场展示，对自己的项目进行现场陈述，每个团队陈述时间不得超过8分钟。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）各团队陈述完后，该团队所有成员接受评委关于创业方案的问题提问并进行现场问答。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七、评分标准：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11"/>
        <w:gridCol w:w="5818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55" w:type="dxa"/>
            <w:shd w:val="clear" w:color="auto" w:fill="99CC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7029" w:type="dxa"/>
            <w:gridSpan w:val="2"/>
            <w:shd w:val="clear" w:color="auto" w:fill="99CC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权衡要点</w:t>
            </w:r>
          </w:p>
        </w:tc>
        <w:tc>
          <w:tcPr>
            <w:tcW w:w="956" w:type="dxa"/>
            <w:shd w:val="clear" w:color="auto" w:fill="99CC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定位准确</w:t>
            </w:r>
          </w:p>
        </w:tc>
        <w:tc>
          <w:tcPr>
            <w:tcW w:w="58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项目符合国家产业政策导向、具有一定的创新性。市场定位合理，项目具有较大的市场前景，竞争力较强，有较强的资金保障能力和吸纳就业能力。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可行性强</w:t>
            </w:r>
          </w:p>
        </w:tc>
        <w:tc>
          <w:tcPr>
            <w:tcW w:w="58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核心内容陈述完整，盈利模式清晰、财务计划合理。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项目可操作性强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可行性高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。计划书编写结构合理，内容充实，数据分析充分、真实。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表达清晰</w:t>
            </w:r>
          </w:p>
        </w:tc>
        <w:tc>
          <w:tcPr>
            <w:tcW w:w="58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陈述过程思路清晰，逻辑严密，语言简洁流畅，特点突出，富于思想内涵。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针对性强</w:t>
            </w:r>
          </w:p>
        </w:tc>
        <w:tc>
          <w:tcPr>
            <w:tcW w:w="58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对评委提出的问题能够有针对性的归纳阐述，做到：重点突出、条理清晰、真实可信、及时准确。尊重评委，对建议能虚心接受。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团队合作</w:t>
            </w:r>
          </w:p>
        </w:tc>
        <w:tc>
          <w:tcPr>
            <w:tcW w:w="58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团队分工明确，配合默契，服装统一，大方得体。能利用多媒体演示，课件（PPT）制作美观大方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让人易于理解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精确把握比赛时间。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adjustRightInd w:val="0"/>
        <w:snapToGrid w:val="0"/>
        <w:ind w:firstLine="400" w:firstLineChars="200"/>
        <w:rPr>
          <w:rFonts w:ascii="微软雅黑" w:hAnsi="微软雅黑" w:eastAsia="微软雅黑"/>
          <w:b/>
          <w:sz w:val="20"/>
          <w:szCs w:val="16"/>
        </w:rPr>
      </w:pPr>
      <w:r>
        <w:rPr>
          <w:rFonts w:hint="eastAsia" w:ascii="微软雅黑" w:hAnsi="微软雅黑" w:eastAsia="微软雅黑"/>
          <w:b/>
          <w:sz w:val="20"/>
          <w:szCs w:val="16"/>
        </w:rPr>
        <w:t>八、注意事项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sz w:val="20"/>
          <w:szCs w:val="16"/>
        </w:rPr>
      </w:pPr>
      <w:r>
        <w:rPr>
          <w:rFonts w:ascii="微软雅黑" w:hAnsi="微软雅黑" w:eastAsia="微软雅黑"/>
          <w:sz w:val="20"/>
          <w:szCs w:val="16"/>
        </w:rPr>
        <w:t>1.</w:t>
      </w:r>
      <w:r>
        <w:rPr>
          <w:rFonts w:hint="eastAsia" w:ascii="微软雅黑" w:hAnsi="微软雅黑" w:eastAsia="微软雅黑"/>
          <w:sz w:val="20"/>
          <w:szCs w:val="16"/>
        </w:rPr>
        <w:t>已参加市级及以上比赛并获奖的项目类同的不得参赛，一经发现取消比赛资格。</w:t>
      </w:r>
    </w:p>
    <w:p>
      <w:p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</w:rPr>
      </w:pPr>
      <w:r>
        <w:rPr>
          <w:rFonts w:ascii="微软雅黑" w:hAnsi="微软雅黑" w:eastAsia="微软雅黑"/>
          <w:sz w:val="20"/>
          <w:szCs w:val="16"/>
        </w:rPr>
        <w:t>2.</w:t>
      </w:r>
      <w:r>
        <w:rPr>
          <w:rFonts w:hint="eastAsia" w:ascii="微软雅黑" w:hAnsi="微软雅黑" w:eastAsia="微软雅黑"/>
          <w:color w:val="FF0000"/>
          <w:sz w:val="20"/>
          <w:szCs w:val="16"/>
        </w:rPr>
        <w:t>参赛学校须在20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20</w:t>
      </w:r>
      <w:r>
        <w:rPr>
          <w:rFonts w:hint="eastAsia" w:ascii="微软雅黑" w:hAnsi="微软雅黑" w:eastAsia="微软雅黑"/>
          <w:color w:val="FF0000"/>
          <w:sz w:val="20"/>
          <w:szCs w:val="16"/>
        </w:rPr>
        <w:t>年1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2</w:t>
      </w:r>
      <w:r>
        <w:rPr>
          <w:rFonts w:hint="eastAsia" w:ascii="微软雅黑" w:hAnsi="微软雅黑" w:eastAsia="微软雅黑"/>
          <w:color w:val="FF0000"/>
          <w:sz w:val="20"/>
          <w:szCs w:val="16"/>
        </w:rPr>
        <w:t>月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8</w:t>
      </w:r>
      <w:r>
        <w:rPr>
          <w:rFonts w:hint="eastAsia" w:ascii="微软雅黑" w:hAnsi="微软雅黑" w:eastAsia="微软雅黑"/>
          <w:color w:val="FF0000"/>
          <w:sz w:val="20"/>
          <w:szCs w:val="16"/>
        </w:rPr>
        <w:t>日前提交作品（电子稿）</w:t>
      </w:r>
      <w:r>
        <w:rPr>
          <w:rFonts w:hint="eastAsia" w:ascii="微软雅黑" w:hAnsi="微软雅黑" w:eastAsia="微软雅黑"/>
          <w:sz w:val="20"/>
          <w:szCs w:val="16"/>
        </w:rPr>
        <w:t>，</w:t>
      </w:r>
      <w:r>
        <w:fldChar w:fldCharType="begin"/>
      </w:r>
      <w:r>
        <w:instrText xml:space="preserve"> HYPERLINK "mailto:初稿送报邮箱843417671@qq.com邮箱，并电话确认，联系人：戴老师，87344335" </w:instrText>
      </w:r>
      <w:r>
        <w:fldChar w:fldCharType="separate"/>
      </w:r>
      <w:r>
        <w:rPr>
          <w:rFonts w:hint="eastAsia" w:ascii="微软雅黑" w:hAnsi="微软雅黑" w:eastAsia="微软雅黑"/>
          <w:sz w:val="20"/>
          <w:szCs w:val="16"/>
        </w:rPr>
        <w:t>送报邮箱</w:t>
      </w:r>
      <w:r>
        <w:rPr>
          <w:rFonts w:hint="eastAsia" w:ascii="微软雅黑" w:hAnsi="微软雅黑" w:eastAsia="微软雅黑"/>
          <w:color w:val="FF0000"/>
          <w:sz w:val="20"/>
          <w:szCs w:val="16"/>
          <w:lang w:val="en-US" w:eastAsia="zh-CN"/>
        </w:rPr>
        <w:t>393143839</w:t>
      </w:r>
      <w:r>
        <w:rPr>
          <w:rFonts w:hint="eastAsia" w:ascii="微软雅黑" w:hAnsi="微软雅黑" w:eastAsia="微软雅黑"/>
          <w:color w:val="FF0000"/>
          <w:sz w:val="20"/>
          <w:szCs w:val="16"/>
        </w:rPr>
        <w:t>@qq.com</w:t>
      </w:r>
      <w:r>
        <w:rPr>
          <w:rFonts w:hint="eastAsia" w:ascii="微软雅黑" w:hAnsi="微软雅黑" w:eastAsia="微软雅黑"/>
          <w:sz w:val="20"/>
          <w:szCs w:val="16"/>
        </w:rPr>
        <w:t>邮箱，并电话确认，联系人：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甘</w:t>
      </w:r>
      <w:r>
        <w:rPr>
          <w:rFonts w:hint="eastAsia" w:ascii="微软雅黑" w:hAnsi="微软雅黑" w:eastAsia="微软雅黑"/>
          <w:sz w:val="20"/>
          <w:szCs w:val="16"/>
        </w:rPr>
        <w:t>老师，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1</w:t>
      </w:r>
      <w:r>
        <w:rPr>
          <w:rFonts w:hint="eastAsia" w:ascii="微软雅黑" w:hAnsi="微软雅黑" w:eastAsia="微软雅黑"/>
          <w:sz w:val="20"/>
          <w:szCs w:val="16"/>
        </w:rPr>
        <w:fldChar w:fldCharType="end"/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3429259182</w:t>
      </w:r>
      <w:r>
        <w:rPr>
          <w:rFonts w:hint="eastAsia" w:ascii="微软雅黑" w:hAnsi="微软雅黑" w:eastAsia="微软雅黑"/>
          <w:sz w:val="20"/>
          <w:szCs w:val="16"/>
        </w:rPr>
        <w:t>。</w:t>
      </w:r>
    </w:p>
    <w:p>
      <w:pPr>
        <w:adjustRightInd w:val="0"/>
        <w:snapToGrid w:val="0"/>
        <w:ind w:firstLine="400" w:firstLineChars="200"/>
        <w:rPr>
          <w:rFonts w:hint="default" w:ascii="微软雅黑" w:hAnsi="微软雅黑" w:eastAsia="微软雅黑"/>
          <w:sz w:val="20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3.决赛比赛时间初定于12月17日，比赛地点北仑职高。</w:t>
      </w:r>
    </w:p>
    <w:p>
      <w:pPr>
        <w:adjustRightInd w:val="0"/>
        <w:snapToGrid w:val="0"/>
        <w:ind w:firstLine="400" w:firstLineChars="200"/>
        <w:rPr>
          <w:rFonts w:ascii="微软雅黑" w:hAnsi="微软雅黑" w:eastAsia="微软雅黑"/>
          <w:strike/>
          <w:sz w:val="20"/>
          <w:szCs w:val="16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16"/>
        </w:rPr>
        <w:t>.打包格式：每个作品建一个文件夹，文件名为：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作品名称-</w:t>
      </w:r>
      <w:r>
        <w:rPr>
          <w:rFonts w:hint="eastAsia" w:ascii="微软雅黑" w:hAnsi="微软雅黑" w:eastAsia="微软雅黑"/>
          <w:sz w:val="20"/>
          <w:szCs w:val="16"/>
        </w:rPr>
        <w:t>学校-指导教师-联系电话（例：</w:t>
      </w:r>
      <w:r>
        <w:rPr>
          <w:rFonts w:hint="eastAsia" w:ascii="微软雅黑" w:hAnsi="微软雅黑" w:eastAsia="微软雅黑"/>
          <w:sz w:val="20"/>
          <w:szCs w:val="16"/>
          <w:lang w:eastAsia="zh-CN"/>
        </w:rPr>
        <w:t>《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作品名称</w:t>
      </w:r>
      <w:r>
        <w:rPr>
          <w:rFonts w:hint="eastAsia" w:ascii="微软雅黑" w:hAnsi="微软雅黑" w:eastAsia="微软雅黑"/>
          <w:sz w:val="20"/>
          <w:szCs w:val="16"/>
          <w:lang w:eastAsia="zh-CN"/>
        </w:rPr>
        <w:t>》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-鄞州职教中心</w:t>
      </w:r>
      <w:r>
        <w:rPr>
          <w:rFonts w:hint="eastAsia" w:ascii="微软雅黑" w:hAnsi="微软雅黑" w:eastAsia="微软雅黑"/>
          <w:sz w:val="20"/>
          <w:szCs w:val="16"/>
        </w:rPr>
        <w:t>-</w:t>
      </w: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梁老师</w:t>
      </w:r>
      <w:r>
        <w:rPr>
          <w:rFonts w:hint="eastAsia" w:ascii="微软雅黑" w:hAnsi="微软雅黑" w:eastAsia="微软雅黑"/>
          <w:sz w:val="20"/>
          <w:szCs w:val="16"/>
        </w:rPr>
        <w:t>-12345678900）内含创业计划书、参赛名单等。</w:t>
      </w:r>
    </w:p>
    <w:p>
      <w:p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>5</w:t>
      </w:r>
      <w:r>
        <w:rPr>
          <w:rFonts w:ascii="微软雅黑" w:hAnsi="微软雅黑" w:eastAsia="微软雅黑"/>
          <w:sz w:val="20"/>
          <w:szCs w:val="16"/>
        </w:rPr>
        <w:t>.</w:t>
      </w:r>
      <w:r>
        <w:rPr>
          <w:rFonts w:hint="eastAsia" w:ascii="微软雅黑" w:hAnsi="微软雅黑" w:eastAsia="微软雅黑"/>
          <w:sz w:val="20"/>
          <w:szCs w:val="16"/>
        </w:rPr>
        <w:t>如参赛团队出现违规行为将被视为故意作弊，将取消其继续参加比赛和评奖的资格。</w:t>
      </w:r>
    </w:p>
    <w:p>
      <w:p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</w:rPr>
      </w:pPr>
    </w:p>
    <w:p>
      <w:pPr>
        <w:adjustRightInd w:val="0"/>
        <w:snapToGrid w:val="0"/>
        <w:ind w:firstLine="400" w:firstLineChars="200"/>
        <w:rPr>
          <w:rFonts w:hint="eastAsia" w:ascii="微软雅黑" w:hAnsi="微软雅黑" w:eastAsia="微软雅黑"/>
          <w:sz w:val="20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 xml:space="preserve">                                                   宁波市职业与成人教育学院</w:t>
      </w:r>
    </w:p>
    <w:p>
      <w:pPr>
        <w:adjustRightInd w:val="0"/>
        <w:snapToGrid w:val="0"/>
        <w:ind w:firstLine="400" w:firstLineChars="200"/>
        <w:rPr>
          <w:rFonts w:hint="default" w:ascii="微软雅黑" w:hAnsi="微软雅黑" w:eastAsia="微软雅黑"/>
          <w:sz w:val="20"/>
          <w:szCs w:val="16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16"/>
          <w:lang w:val="en-US" w:eastAsia="zh-CN"/>
        </w:rPr>
        <w:t xml:space="preserve">                                                   宁波市中职创新创业教育协作会</w:t>
      </w:r>
      <w:bookmarkStart w:id="0" w:name="_GoBack"/>
      <w:bookmarkEnd w:id="0"/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56AC"/>
    <w:multiLevelType w:val="singleLevel"/>
    <w:tmpl w:val="30A656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FF"/>
    <w:rsid w:val="000001F2"/>
    <w:rsid w:val="000935A4"/>
    <w:rsid w:val="000B7AD7"/>
    <w:rsid w:val="000C3719"/>
    <w:rsid w:val="000F4A88"/>
    <w:rsid w:val="001246F7"/>
    <w:rsid w:val="00163CA5"/>
    <w:rsid w:val="00170CBB"/>
    <w:rsid w:val="00174F63"/>
    <w:rsid w:val="001D3479"/>
    <w:rsid w:val="002835AA"/>
    <w:rsid w:val="00287677"/>
    <w:rsid w:val="0029238F"/>
    <w:rsid w:val="002B5B79"/>
    <w:rsid w:val="002C296B"/>
    <w:rsid w:val="00316B98"/>
    <w:rsid w:val="00403BE7"/>
    <w:rsid w:val="00517231"/>
    <w:rsid w:val="0053688A"/>
    <w:rsid w:val="00635BD5"/>
    <w:rsid w:val="00665B62"/>
    <w:rsid w:val="006E164A"/>
    <w:rsid w:val="00751226"/>
    <w:rsid w:val="007547B0"/>
    <w:rsid w:val="007E1792"/>
    <w:rsid w:val="008642F3"/>
    <w:rsid w:val="008953CF"/>
    <w:rsid w:val="008A3635"/>
    <w:rsid w:val="008C34A5"/>
    <w:rsid w:val="008C464D"/>
    <w:rsid w:val="008E74F6"/>
    <w:rsid w:val="0093320E"/>
    <w:rsid w:val="00945E8C"/>
    <w:rsid w:val="0097099D"/>
    <w:rsid w:val="009960FF"/>
    <w:rsid w:val="00997A06"/>
    <w:rsid w:val="009A01CF"/>
    <w:rsid w:val="00A73A20"/>
    <w:rsid w:val="00A93C8F"/>
    <w:rsid w:val="00A94FF0"/>
    <w:rsid w:val="00A956ED"/>
    <w:rsid w:val="00AE4574"/>
    <w:rsid w:val="00B64DB4"/>
    <w:rsid w:val="00BC6CC4"/>
    <w:rsid w:val="00BF060E"/>
    <w:rsid w:val="00BF260A"/>
    <w:rsid w:val="00C4000A"/>
    <w:rsid w:val="00D02F24"/>
    <w:rsid w:val="00D46819"/>
    <w:rsid w:val="00D565FA"/>
    <w:rsid w:val="00E75B58"/>
    <w:rsid w:val="00E863FF"/>
    <w:rsid w:val="00EC37E0"/>
    <w:rsid w:val="00F41CFD"/>
    <w:rsid w:val="00FF284B"/>
    <w:rsid w:val="03CC3E4E"/>
    <w:rsid w:val="06EE030B"/>
    <w:rsid w:val="633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标题 3 Char"/>
    <w:basedOn w:val="7"/>
    <w:link w:val="2"/>
    <w:qFormat/>
    <w:uiPriority w:val="9"/>
    <w:rPr>
      <w:rFonts w:ascii="Calibri" w:hAnsi="Calibri" w:eastAsia="宋体" w:cs="Times New Roman"/>
      <w:b/>
      <w:bCs/>
      <w:sz w:val="32"/>
      <w:szCs w:val="32"/>
      <w:lang w:val="zh-CN" w:eastAsia="zh-CN"/>
    </w:rPr>
  </w:style>
  <w:style w:type="paragraph" w:customStyle="1" w:styleId="9">
    <w:name w:val="副标"/>
    <w:basedOn w:val="5"/>
    <w:link w:val="10"/>
    <w:qFormat/>
    <w:uiPriority w:val="0"/>
    <w:pPr>
      <w:spacing w:before="0" w:after="0" w:line="240" w:lineRule="auto"/>
      <w:ind w:right="210" w:rightChars="100"/>
    </w:pPr>
    <w:rPr>
      <w:rFonts w:ascii="Cambria" w:hAnsi="Cambria" w:cs="Times New Roman"/>
      <w:i/>
      <w:color w:val="FF0000"/>
      <w:sz w:val="21"/>
      <w:szCs w:val="21"/>
      <w:lang w:val="zh-CN" w:eastAsia="zh-CN"/>
    </w:rPr>
  </w:style>
  <w:style w:type="character" w:customStyle="1" w:styleId="10">
    <w:name w:val="副标 Char"/>
    <w:link w:val="9"/>
    <w:qFormat/>
    <w:uiPriority w:val="0"/>
    <w:rPr>
      <w:rFonts w:ascii="Cambria" w:hAnsi="Cambria" w:eastAsia="宋体" w:cs="Times New Roman"/>
      <w:b/>
      <w:bCs/>
      <w:i/>
      <w:color w:val="FF0000"/>
      <w:kern w:val="28"/>
      <w:szCs w:val="21"/>
      <w:lang w:val="zh-CN" w:eastAsia="zh-CN"/>
    </w:rPr>
  </w:style>
  <w:style w:type="character" w:customStyle="1" w:styleId="11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346</Words>
  <Characters>1976</Characters>
  <Lines>16</Lines>
  <Paragraphs>4</Paragraphs>
  <TotalTime>8</TotalTime>
  <ScaleCrop>false</ScaleCrop>
  <LinksUpToDate>false</LinksUpToDate>
  <CharactersWithSpaces>2318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2015-12-12T15:59:00Z</dcterms:created>
  <dc:creator>Administrator</dc:creator>
  <cp:lastModifiedBy>甘</cp:lastModifiedBy>
  <dcterms:modified xsi:type="dcterms:W3CDTF">2020-11-10T08:57:48Z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