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44"/>
          <w:szCs w:val="44"/>
        </w:rPr>
      </w:pPr>
      <w:r>
        <w:rPr>
          <w:sz w:val="44"/>
          <w:szCs w:val="44"/>
        </w:rPr>
        <w:t>宁波第二技师学院</w:t>
      </w: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021</w:t>
      </w:r>
      <w:r>
        <w:rPr>
          <w:rFonts w:hint="eastAsia"/>
          <w:sz w:val="44"/>
          <w:szCs w:val="44"/>
        </w:rPr>
        <w:t>学年</w:t>
      </w:r>
      <w:r>
        <w:rPr>
          <w:sz w:val="44"/>
          <w:szCs w:val="44"/>
        </w:rPr>
        <w:t>发展性评价发展性指标</w:t>
      </w:r>
    </w:p>
    <w:p>
      <w:pPr>
        <w:spacing w:before="4" w:after="1"/>
        <w:rPr>
          <w:rFonts w:hint="eastAsia"/>
          <w:sz w:val="24"/>
        </w:rPr>
      </w:pPr>
    </w:p>
    <w:tbl>
      <w:tblPr>
        <w:tblStyle w:val="8"/>
        <w:tblW w:w="136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789"/>
        <w:gridCol w:w="10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347" w:type="dxa"/>
          </w:tcPr>
          <w:p>
            <w:pPr>
              <w:pStyle w:val="12"/>
              <w:spacing w:before="136"/>
              <w:ind w:left="194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一级指标</w:t>
            </w:r>
          </w:p>
        </w:tc>
        <w:tc>
          <w:tcPr>
            <w:tcW w:w="1789" w:type="dxa"/>
          </w:tcPr>
          <w:p>
            <w:pPr>
              <w:pStyle w:val="12"/>
              <w:spacing w:before="136"/>
              <w:ind w:left="178" w:right="16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二级指标</w:t>
            </w:r>
          </w:p>
        </w:tc>
        <w:tc>
          <w:tcPr>
            <w:tcW w:w="10478" w:type="dxa"/>
          </w:tcPr>
          <w:p>
            <w:pPr>
              <w:pStyle w:val="12"/>
              <w:tabs>
                <w:tab w:val="left" w:pos="487"/>
                <w:tab w:val="left" w:pos="967"/>
                <w:tab w:val="left" w:pos="1447"/>
              </w:tabs>
              <w:spacing w:before="136"/>
              <w:ind w:left="7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级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指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12"/>
              <w:ind w:left="194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内涵发展</w:t>
            </w:r>
          </w:p>
        </w:tc>
        <w:tc>
          <w:tcPr>
            <w:tcW w:w="1789" w:type="dxa"/>
            <w:vAlign w:val="center"/>
          </w:tcPr>
          <w:p>
            <w:pPr>
              <w:pStyle w:val="12"/>
              <w:ind w:right="169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文化建设</w:t>
            </w:r>
          </w:p>
          <w:p>
            <w:pPr>
              <w:pStyle w:val="12"/>
              <w:ind w:right="169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（5分）</w:t>
            </w:r>
          </w:p>
        </w:tc>
        <w:tc>
          <w:tcPr>
            <w:tcW w:w="10478" w:type="dxa"/>
            <w:vAlign w:val="center"/>
          </w:tcPr>
          <w:p>
            <w:pPr>
              <w:pStyle w:val="12"/>
              <w:spacing w:line="320" w:lineRule="exact"/>
              <w:ind w:right="96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.加强党建文化引领，</w:t>
            </w:r>
            <w:r>
              <w:rPr>
                <w:rFonts w:hint="eastAsia"/>
                <w:sz w:val="24"/>
              </w:rPr>
              <w:t>深耕精品党建品牌“匠声汇”，挖掘育匠故事，汇聚匠心合力，使“修匠心、炼匠技、铸匠品、育匠才”的办学理念深入人心。（2分）</w:t>
            </w:r>
          </w:p>
          <w:p>
            <w:pPr>
              <w:pStyle w:val="12"/>
              <w:spacing w:line="320" w:lineRule="exact"/>
              <w:ind w:right="96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.推进德育品牌创建</w:t>
            </w:r>
            <w:r>
              <w:rPr>
                <w:rFonts w:hint="eastAsia"/>
                <w:sz w:val="24"/>
              </w:rPr>
              <w:t>，推进学院“知物由学</w:t>
            </w:r>
            <w:r>
              <w:rPr>
                <w:sz w:val="24"/>
              </w:rPr>
              <w:t xml:space="preserve"> 德技兼修”德育品牌的创建和完善，形成具有我院特色的“匠文化”德育品牌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加快“十匠”月主题文化的系统</w:t>
            </w:r>
            <w:r>
              <w:rPr>
                <w:rFonts w:hint="eastAsia"/>
                <w:sz w:val="24"/>
              </w:rPr>
              <w:t>化推行</w:t>
            </w:r>
            <w:r>
              <w:rPr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下发“工匠精神”读物。</w:t>
            </w:r>
            <w:r>
              <w:rPr>
                <w:color w:val="000000"/>
                <w:sz w:val="24"/>
                <w:szCs w:val="24"/>
              </w:rPr>
              <w:t>(2分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  <w:r>
              <w:rPr>
                <w:sz w:val="24"/>
              </w:rPr>
              <w:t xml:space="preserve"> </w:t>
            </w:r>
          </w:p>
          <w:p>
            <w:pPr>
              <w:pStyle w:val="12"/>
              <w:spacing w:line="320" w:lineRule="exact"/>
              <w:ind w:right="96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.加快校企文化融合。</w:t>
            </w:r>
            <w:r>
              <w:rPr>
                <w:rFonts w:hint="eastAsia"/>
                <w:color w:val="000000"/>
                <w:sz w:val="24"/>
                <w:szCs w:val="24"/>
              </w:rPr>
              <w:t>推行“人文素养日”，企业文化课。（1分）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12"/>
              <w:ind w:left="194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pStyle w:val="12"/>
              <w:ind w:right="169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项目建设</w:t>
            </w:r>
          </w:p>
          <w:p>
            <w:pPr>
              <w:pStyle w:val="12"/>
              <w:ind w:left="180" w:right="169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（11分）</w:t>
            </w:r>
          </w:p>
        </w:tc>
        <w:tc>
          <w:tcPr>
            <w:tcW w:w="10478" w:type="dxa"/>
            <w:vAlign w:val="center"/>
          </w:tcPr>
          <w:p>
            <w:pPr>
              <w:pStyle w:val="12"/>
              <w:spacing w:line="320" w:lineRule="exact"/>
              <w:ind w:right="96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加大实习实训基地建设，增加1</w:t>
            </w:r>
            <w:r>
              <w:rPr>
                <w:sz w:val="24"/>
              </w:rPr>
              <w:t>个</w:t>
            </w:r>
            <w:r>
              <w:rPr>
                <w:rFonts w:hint="eastAsia"/>
                <w:sz w:val="24"/>
              </w:rPr>
              <w:t>国家级职业教育示范基地，促进专业教育水平进一步提升，在一定范围内起到示范引领作用。（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分）</w:t>
            </w:r>
          </w:p>
          <w:p>
            <w:pPr>
              <w:pStyle w:val="12"/>
              <w:spacing w:line="320" w:lineRule="exact"/>
              <w:ind w:right="96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积极对接世赛，对标国际技术标准和流程，获批1个世赛项目的国家基地。（</w:t>
            </w:r>
            <w:r>
              <w:rPr>
                <w:sz w:val="24"/>
              </w:rPr>
              <w:t>3分）</w:t>
            </w:r>
          </w:p>
          <w:p>
            <w:pPr>
              <w:pStyle w:val="12"/>
              <w:spacing w:line="320" w:lineRule="exact"/>
              <w:ind w:right="96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 加强专业群建设，打造技工院校特色品牌专业群，争取申报成功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-2个高水平专业群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（3</w:t>
            </w:r>
            <w:r>
              <w:rPr>
                <w:rFonts w:hint="eastAsia"/>
                <w:sz w:val="24"/>
              </w:rPr>
              <w:t>分）</w:t>
            </w:r>
          </w:p>
          <w:p>
            <w:pPr>
              <w:pStyle w:val="12"/>
              <w:spacing w:line="320" w:lineRule="exact"/>
              <w:ind w:right="96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.。努力向全国优质技工院校目标迈进，积极申报浙江省一流技师学院评选。（2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12"/>
              <w:ind w:left="194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pStyle w:val="12"/>
              <w:ind w:right="169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课程建设</w:t>
            </w:r>
          </w:p>
          <w:p>
            <w:pPr>
              <w:pStyle w:val="12"/>
              <w:ind w:right="169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（4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分）</w:t>
            </w:r>
          </w:p>
        </w:tc>
        <w:tc>
          <w:tcPr>
            <w:tcW w:w="10478" w:type="dxa"/>
            <w:vAlign w:val="center"/>
          </w:tcPr>
          <w:p>
            <w:pPr>
              <w:pStyle w:val="12"/>
              <w:spacing w:line="400" w:lineRule="exact"/>
              <w:ind w:right="96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完善人才培养方案，对</w:t>
            </w:r>
            <w:r>
              <w:rPr>
                <w:sz w:val="24"/>
              </w:rPr>
              <w:t>人培方案和实施性教学计划进行修订。（</w:t>
            </w:r>
            <w:r>
              <w:rPr>
                <w:rFonts w:hint="eastAsia"/>
                <w:sz w:val="24"/>
              </w:rPr>
              <w:t>1分）</w:t>
            </w:r>
          </w:p>
          <w:p>
            <w:pPr>
              <w:pStyle w:val="12"/>
              <w:spacing w:line="400" w:lineRule="exact"/>
              <w:ind w:right="96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2.完善、丰富、充实</w:t>
            </w:r>
            <w:r>
              <w:rPr>
                <w:rFonts w:hint="eastAsia"/>
                <w:sz w:val="24"/>
              </w:rPr>
              <w:t>中高职一体化人才培养的课程。（1分）</w:t>
            </w:r>
          </w:p>
          <w:p>
            <w:pPr>
              <w:pStyle w:val="12"/>
              <w:spacing w:line="400" w:lineRule="exact"/>
              <w:ind w:right="96" w:firstLine="480" w:firstLineChars="200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建立特色社团课程，新增3个以上技能社团课程。（1分</w:t>
            </w:r>
            <w:r>
              <w:rPr>
                <w:sz w:val="24"/>
              </w:rPr>
              <w:t>）</w:t>
            </w:r>
          </w:p>
          <w:p>
            <w:pPr>
              <w:pStyle w:val="12"/>
              <w:spacing w:line="400" w:lineRule="exact"/>
              <w:ind w:right="96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发挥学校专业优势，开发面向社会的职业培训课程,增加职业技能培训工种和等级认定工种，向社会开展高技能的多种职业培训课程。(</w:t>
            </w:r>
            <w:r>
              <w:rPr>
                <w:sz w:val="24"/>
              </w:rPr>
              <w:t>1分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教师发展</w:t>
            </w:r>
          </w:p>
        </w:tc>
        <w:tc>
          <w:tcPr>
            <w:tcW w:w="1789" w:type="dxa"/>
            <w:vAlign w:val="center"/>
          </w:tcPr>
          <w:p>
            <w:pPr>
              <w:pStyle w:val="12"/>
              <w:ind w:right="169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队伍建设</w:t>
            </w:r>
          </w:p>
          <w:p>
            <w:pPr>
              <w:pStyle w:val="12"/>
              <w:ind w:left="180" w:right="169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（15</w:t>
            </w:r>
            <w:r>
              <w:rPr>
                <w:rFonts w:hint="eastAsia" w:asciiTheme="majorEastAsia" w:hAnsiTheme="majorEastAsia" w:eastAsiaTheme="majorEastAsia"/>
                <w:b/>
                <w:sz w:val="24"/>
                <w:lang w:val="en-US" w:eastAsia="zh-CN"/>
              </w:rPr>
              <w:t>分</w:t>
            </w:r>
            <w:bookmarkStart w:id="0" w:name="_GoBack"/>
            <w:bookmarkEnd w:id="0"/>
            <w:r>
              <w:rPr>
                <w:rFonts w:asciiTheme="majorEastAsia" w:hAnsiTheme="majorEastAsia" w:eastAsiaTheme="majorEastAsia"/>
                <w:b/>
                <w:sz w:val="24"/>
              </w:rPr>
              <w:t>）</w:t>
            </w:r>
          </w:p>
        </w:tc>
        <w:tc>
          <w:tcPr>
            <w:tcW w:w="10478" w:type="dxa"/>
            <w:vAlign w:val="center"/>
          </w:tcPr>
          <w:p>
            <w:pPr>
              <w:pStyle w:val="12"/>
              <w:spacing w:line="360" w:lineRule="exact"/>
              <w:ind w:right="97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加强</w:t>
            </w:r>
            <w:r>
              <w:rPr>
                <w:sz w:val="24"/>
              </w:rPr>
              <w:t>专业教师队伍，新增</w:t>
            </w:r>
            <w:r>
              <w:rPr>
                <w:rFonts w:hint="eastAsia"/>
                <w:sz w:val="24"/>
              </w:rPr>
              <w:t>市（区）级学科骨干，新增市级以上荣誉或技术类荣誉称号。（5分）</w:t>
            </w:r>
          </w:p>
          <w:p>
            <w:pPr>
              <w:pStyle w:val="12"/>
              <w:spacing w:line="360" w:lineRule="exact"/>
              <w:ind w:right="97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.提升德育队伍素养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>提高育人专业化水平，</w:t>
            </w:r>
            <w:r>
              <w:rPr>
                <w:rFonts w:hint="eastAsia"/>
                <w:sz w:val="24"/>
              </w:rPr>
              <w:t>组建具有技师学院特色的班主任工作室，积极参与班主任能力大赛，争取有突破性成绩。（5分）</w:t>
            </w:r>
          </w:p>
          <w:p>
            <w:pPr>
              <w:pStyle w:val="12"/>
              <w:spacing w:line="360" w:lineRule="exact"/>
              <w:ind w:right="97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.提升“双师</w:t>
            </w:r>
            <w:r>
              <w:rPr>
                <w:rFonts w:hint="eastAsia"/>
                <w:sz w:val="24"/>
              </w:rPr>
              <w:t>型</w:t>
            </w:r>
            <w:r>
              <w:rPr>
                <w:sz w:val="24"/>
              </w:rPr>
              <w:t>”教师实践能力，</w:t>
            </w:r>
            <w:r>
              <w:rPr>
                <w:rFonts w:hint="eastAsia"/>
                <w:sz w:val="24"/>
              </w:rPr>
              <w:t>组织1</w:t>
            </w:r>
            <w:r>
              <w:rPr>
                <w:sz w:val="24"/>
              </w:rPr>
              <w:t>0名以上专业教师下企业</w:t>
            </w:r>
            <w:r>
              <w:rPr>
                <w:rFonts w:hint="eastAsia"/>
                <w:sz w:val="24"/>
              </w:rPr>
              <w:t>实践</w:t>
            </w:r>
            <w:r>
              <w:rPr>
                <w:sz w:val="24"/>
              </w:rPr>
              <w:t>锻炼</w:t>
            </w:r>
            <w:r>
              <w:rPr>
                <w:rFonts w:hint="eastAsia"/>
                <w:sz w:val="24"/>
              </w:rPr>
              <w:t>;</w:t>
            </w:r>
            <w:r>
              <w:rPr>
                <w:sz w:val="24"/>
              </w:rPr>
              <w:t>提高双师型教师比例，专业教师新增5名以上技师。（</w:t>
            </w:r>
            <w:r>
              <w:rPr>
                <w:rFonts w:hint="eastAsia"/>
                <w:sz w:val="24"/>
              </w:rPr>
              <w:t>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12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pStyle w:val="12"/>
              <w:ind w:right="169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平台搭建</w:t>
            </w:r>
          </w:p>
          <w:p>
            <w:pPr>
              <w:pStyle w:val="12"/>
              <w:ind w:right="169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（5分）</w:t>
            </w:r>
          </w:p>
        </w:tc>
        <w:tc>
          <w:tcPr>
            <w:tcW w:w="10478" w:type="dxa"/>
            <w:vAlign w:val="center"/>
          </w:tcPr>
          <w:p>
            <w:pPr>
              <w:pStyle w:val="12"/>
              <w:spacing w:line="360" w:lineRule="exact"/>
              <w:ind w:right="97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搭建</w:t>
            </w:r>
            <w:r>
              <w:rPr>
                <w:sz w:val="24"/>
              </w:rPr>
              <w:t>教师</w:t>
            </w:r>
            <w:r>
              <w:rPr>
                <w:rFonts w:hint="eastAsia"/>
                <w:sz w:val="24"/>
              </w:rPr>
              <w:t>培育</w:t>
            </w:r>
            <w:r>
              <w:rPr>
                <w:sz w:val="24"/>
              </w:rPr>
              <w:t>平台，鼓励年青教师报考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十二届名师带徒</w:t>
            </w:r>
            <w:r>
              <w:rPr>
                <w:rFonts w:hint="eastAsia"/>
                <w:sz w:val="24"/>
              </w:rPr>
              <w:t>学员,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持续推进选报</w:t>
            </w:r>
            <w:r>
              <w:rPr>
                <w:sz w:val="24"/>
              </w:rPr>
              <w:t>1—2名教师参与省级培训</w:t>
            </w:r>
            <w:r>
              <w:rPr>
                <w:rFonts w:hint="eastAsia"/>
                <w:sz w:val="24"/>
              </w:rPr>
              <w:t>。（2分）</w:t>
            </w:r>
          </w:p>
          <w:p>
            <w:pPr>
              <w:pStyle w:val="12"/>
              <w:spacing w:line="360" w:lineRule="exact"/>
              <w:ind w:right="97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2.开展校级工作室建设，发挥团队引领、示范、辐射作用，</w:t>
            </w:r>
            <w:r>
              <w:rPr>
                <w:rFonts w:hint="eastAsia"/>
                <w:sz w:val="24"/>
              </w:rPr>
              <w:t>评选5个优秀院级专业工作室，新增6个院级专业工作室。（3分）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12"/>
              <w:spacing w:before="1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学生发展</w:t>
            </w:r>
          </w:p>
        </w:tc>
        <w:tc>
          <w:tcPr>
            <w:tcW w:w="1789" w:type="dxa"/>
            <w:vAlign w:val="center"/>
          </w:tcPr>
          <w:p>
            <w:pPr>
              <w:pStyle w:val="12"/>
              <w:spacing w:before="1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素养提升</w:t>
            </w:r>
          </w:p>
          <w:p>
            <w:pPr>
              <w:pStyle w:val="12"/>
              <w:spacing w:before="1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（10分）</w:t>
            </w:r>
          </w:p>
        </w:tc>
        <w:tc>
          <w:tcPr>
            <w:tcW w:w="10478" w:type="dxa"/>
            <w:vAlign w:val="center"/>
          </w:tcPr>
          <w:p>
            <w:pPr>
              <w:pStyle w:val="12"/>
              <w:spacing w:line="360" w:lineRule="exact"/>
              <w:ind w:right="97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1、组织学生参加各类技能比赛，成绩有一定突破。（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分）</w:t>
            </w:r>
          </w:p>
          <w:p>
            <w:pPr>
              <w:pStyle w:val="12"/>
              <w:spacing w:line="360" w:lineRule="exact"/>
              <w:ind w:right="97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2、组织组织学生参加各级各类文文体活动，增强学生综合素养（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分）。</w:t>
            </w:r>
          </w:p>
          <w:p>
            <w:pPr>
              <w:pStyle w:val="12"/>
              <w:spacing w:line="360" w:lineRule="exact"/>
              <w:ind w:right="97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3．丰富在校生职业技能鉴定工种，提高学生全面专业性和综合素养</w:t>
            </w:r>
            <w:r>
              <w:rPr>
                <w:sz w:val="24"/>
              </w:rPr>
              <w:t>（2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）</w:t>
            </w:r>
          </w:p>
          <w:p>
            <w:pPr>
              <w:pStyle w:val="12"/>
              <w:spacing w:line="360" w:lineRule="exact"/>
              <w:ind w:right="97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4．</w:t>
            </w:r>
            <w:r>
              <w:rPr>
                <w:sz w:val="24"/>
              </w:rPr>
              <w:t>在面向人人赛、市技能抽测中保持名列茅的成绩。（2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12"/>
              <w:spacing w:before="1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pStyle w:val="12"/>
              <w:spacing w:before="1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实习就业</w:t>
            </w:r>
          </w:p>
          <w:p>
            <w:pPr>
              <w:pStyle w:val="12"/>
              <w:spacing w:before="1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1</w:t>
            </w:r>
            <w:r>
              <w:rPr>
                <w:rFonts w:asciiTheme="majorEastAsia" w:hAnsiTheme="majorEastAsia" w:eastAsiaTheme="majorEastAsia"/>
                <w:b/>
                <w:sz w:val="24"/>
              </w:rPr>
              <w:t>0分）</w:t>
            </w:r>
          </w:p>
        </w:tc>
        <w:tc>
          <w:tcPr>
            <w:tcW w:w="10478" w:type="dxa"/>
          </w:tcPr>
          <w:p>
            <w:pPr>
              <w:pStyle w:val="12"/>
              <w:spacing w:line="320" w:lineRule="exact"/>
              <w:ind w:right="96"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推进工学结合，开展校际结对，充分发挥企业、学校的双主体作用，探索并建立校企一体化育人机制。(</w:t>
            </w:r>
            <w:r>
              <w:rPr>
                <w:sz w:val="24"/>
              </w:rPr>
              <w:t>3分</w:t>
            </w:r>
            <w:r>
              <w:rPr>
                <w:rFonts w:hint="eastAsia"/>
                <w:sz w:val="24"/>
              </w:rPr>
              <w:t>)</w:t>
            </w:r>
          </w:p>
          <w:p>
            <w:pPr>
              <w:pStyle w:val="12"/>
              <w:spacing w:line="360" w:lineRule="exact"/>
              <w:ind w:right="97" w:firstLine="480" w:firstLineChars="20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注重引入行业企业等第三方参与人才质量评价，</w:t>
            </w:r>
            <w:r>
              <w:rPr>
                <w:rFonts w:hint="eastAsia" w:ascii="宋体" w:hAnsi="宋体"/>
                <w:color w:val="000000"/>
                <w:sz w:val="24"/>
              </w:rPr>
              <w:t>企业用人单位对我院实习学生的满意度高。（2分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  <w:p>
            <w:pPr>
              <w:pStyle w:val="12"/>
              <w:spacing w:line="360" w:lineRule="exact"/>
              <w:ind w:right="97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建立学生职业成长档案、完善毕业生跟踪制度，对人才培养质量和办学成效实施有效监测。(</w:t>
            </w:r>
            <w:r>
              <w:rPr>
                <w:sz w:val="24"/>
              </w:rPr>
              <w:t>2分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  <w:p>
            <w:pPr>
              <w:pStyle w:val="12"/>
              <w:spacing w:line="360" w:lineRule="exact"/>
              <w:ind w:right="97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4.提高</w:t>
            </w:r>
            <w:r>
              <w:rPr>
                <w:rFonts w:hint="eastAsia"/>
                <w:sz w:val="24"/>
              </w:rPr>
              <w:t>就业质量，毕业生受到行业龙头企业、名优企业、专精特新小巨人企业的青睐，学生就业选择性大。（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分）</w:t>
            </w:r>
          </w:p>
        </w:tc>
      </w:tr>
    </w:tbl>
    <w:p>
      <w:pPr>
        <w:rPr>
          <w:rFonts w:hint="eastAsia" w:ascii="Times New Roman"/>
          <w:sz w:val="26"/>
        </w:rPr>
        <w:sectPr>
          <w:footerReference r:id="rId3" w:type="default"/>
          <w:footerReference r:id="rId4" w:type="even"/>
          <w:type w:val="continuous"/>
          <w:pgSz w:w="16840" w:h="11910" w:orient="landscape"/>
          <w:pgMar w:top="1580" w:right="1300" w:bottom="280" w:left="1300" w:header="720" w:footer="720" w:gutter="0"/>
          <w:cols w:space="720" w:num="1"/>
        </w:sectPr>
      </w:pPr>
    </w:p>
    <w:p>
      <w:pPr>
        <w:spacing w:before="4" w:after="1"/>
        <w:rPr>
          <w:rFonts w:hint="eastAsia" w:ascii="宋体" w:hAnsi="宋体"/>
          <w:sz w:val="28"/>
        </w:rPr>
      </w:pPr>
    </w:p>
    <w:sectPr>
      <w:footerReference r:id="rId5" w:type="even"/>
      <w:pgSz w:w="16840" w:h="11910" w:orient="landscape"/>
      <w:pgMar w:top="1480" w:right="1600" w:bottom="1380" w:left="15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9068435</wp:posOffset>
              </wp:positionH>
              <wp:positionV relativeFrom="page">
                <wp:posOffset>6718300</wp:posOffset>
              </wp:positionV>
              <wp:extent cx="737235" cy="203835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714.05pt;margin-top:529pt;height:16.05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n8d3/bAAAADwEAAA8AAAAAAAAAAQAgAAAAIgAAAGRycy9kb3ducmV2LnhtbFBL&#10;AQIUABQAAAAIAIdO4kApURkb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6718300</wp:posOffset>
              </wp:positionV>
              <wp:extent cx="737235" cy="203835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69.8pt;margin-top:529pt;height:16.0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vph4Y2gAAAA0BAAAPAAAAAAAAAAEAIAAAACIAAABkcnMvZG93bnJldi54bWxQSwEC&#10;FAAUAAAACACHTuJA+RC9j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ODQwYWE1MzVlNWM2YWNiMDExZWQ1OTE3ZTkzNDIifQ=="/>
  </w:docVars>
  <w:rsids>
    <w:rsidRoot w:val="00CF2D1B"/>
    <w:rsid w:val="00056A8C"/>
    <w:rsid w:val="0006480A"/>
    <w:rsid w:val="00077A02"/>
    <w:rsid w:val="00100007"/>
    <w:rsid w:val="0010611C"/>
    <w:rsid w:val="001079B5"/>
    <w:rsid w:val="001820DA"/>
    <w:rsid w:val="001B2F28"/>
    <w:rsid w:val="001E007D"/>
    <w:rsid w:val="002251AB"/>
    <w:rsid w:val="002333C9"/>
    <w:rsid w:val="002C5F8C"/>
    <w:rsid w:val="002D668F"/>
    <w:rsid w:val="00302F79"/>
    <w:rsid w:val="003109E6"/>
    <w:rsid w:val="00323E30"/>
    <w:rsid w:val="003B5FAF"/>
    <w:rsid w:val="003C39DB"/>
    <w:rsid w:val="003F43A1"/>
    <w:rsid w:val="00457504"/>
    <w:rsid w:val="004940FF"/>
    <w:rsid w:val="004B359C"/>
    <w:rsid w:val="004F09C0"/>
    <w:rsid w:val="005539E2"/>
    <w:rsid w:val="00567B02"/>
    <w:rsid w:val="005A7943"/>
    <w:rsid w:val="006A2BEC"/>
    <w:rsid w:val="006A79DA"/>
    <w:rsid w:val="006B09F4"/>
    <w:rsid w:val="006B5BAE"/>
    <w:rsid w:val="00750FBA"/>
    <w:rsid w:val="00771FD3"/>
    <w:rsid w:val="00774A2A"/>
    <w:rsid w:val="007A6878"/>
    <w:rsid w:val="007D60F0"/>
    <w:rsid w:val="007E1B61"/>
    <w:rsid w:val="00810751"/>
    <w:rsid w:val="00813AA5"/>
    <w:rsid w:val="00863624"/>
    <w:rsid w:val="00895438"/>
    <w:rsid w:val="00910AE0"/>
    <w:rsid w:val="009960EB"/>
    <w:rsid w:val="00A13573"/>
    <w:rsid w:val="00A56268"/>
    <w:rsid w:val="00A91123"/>
    <w:rsid w:val="00A91734"/>
    <w:rsid w:val="00B6430C"/>
    <w:rsid w:val="00BA78E0"/>
    <w:rsid w:val="00C40CE0"/>
    <w:rsid w:val="00C6475B"/>
    <w:rsid w:val="00CF2D1B"/>
    <w:rsid w:val="00D42B36"/>
    <w:rsid w:val="00D717BC"/>
    <w:rsid w:val="00DC3345"/>
    <w:rsid w:val="00DF1711"/>
    <w:rsid w:val="00E35982"/>
    <w:rsid w:val="00E91250"/>
    <w:rsid w:val="00F5721A"/>
    <w:rsid w:val="00FB256E"/>
    <w:rsid w:val="1DC20F6C"/>
    <w:rsid w:val="2E0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40" w:right="3140"/>
      <w:outlineLvl w:val="0"/>
    </w:pPr>
    <w:rPr>
      <w:rFonts w:ascii="宋体" w:hAnsi="宋体" w:eastAsia="宋体" w:cs="宋体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="Calibri" w:hAnsi="Calibri" w:eastAsia="宋体" w:cs="Times New Roman"/>
      <w:kern w:val="2"/>
      <w:sz w:val="18"/>
      <w:szCs w:val="18"/>
      <w:lang w:val="en-US" w:bidi="ar-SA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99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脚 字符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4">
    <w:name w:val="列出段落1"/>
    <w:basedOn w:val="1"/>
    <w:uiPriority w:val="0"/>
    <w:pPr>
      <w:autoSpaceDE/>
      <w:autoSpaceDN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bidi="ar-SA"/>
    </w:rPr>
  </w:style>
  <w:style w:type="character" w:customStyle="1" w:styleId="15">
    <w:name w:val="批注框文本 字符"/>
    <w:basedOn w:val="9"/>
    <w:link w:val="4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页眉 字符"/>
    <w:basedOn w:val="9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7">
    <w:name w:val="标题 字符"/>
    <w:basedOn w:val="9"/>
    <w:link w:val="7"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1199</Words>
  <Characters>1233</Characters>
  <Lines>1</Lines>
  <Paragraphs>2</Paragraphs>
  <TotalTime>26</TotalTime>
  <ScaleCrop>false</ScaleCrop>
  <LinksUpToDate>false</LinksUpToDate>
  <CharactersWithSpaces>1243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2022-09-22T07:39:00Z</dcterms:created>
  <dc:creator>jyj</dc:creator>
  <cp:lastModifiedBy>微末</cp:lastModifiedBy>
  <cp:lastPrinted>2022-09-22T00:31:00Z</cp:lastPrinted>
  <dcterms:modified xsi:type="dcterms:W3CDTF">2022-09-26T07:46:28Z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2022-09-20T00:00:00Z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2623A61122F340678949F8067E18A89C</vt:lpwstr>
  </property>
</Properties>
</file>